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819" w:rsidRDefault="00AF1819" w:rsidP="00AF1819">
      <w:pPr>
        <w:jc w:val="center"/>
      </w:pPr>
      <w:bookmarkStart w:id="0" w:name="_GoBack"/>
      <w:bookmarkEnd w:id="0"/>
      <w:r>
        <w:rPr>
          <w:noProof/>
        </w:rPr>
        <w:drawing>
          <wp:inline distT="0" distB="0" distL="0" distR="0" wp14:anchorId="6DAA4A9E" wp14:editId="38FD826A">
            <wp:extent cx="601980" cy="80010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601980" cy="800100"/>
                    </a:xfrm>
                    <a:prstGeom prst="rect">
                      <a:avLst/>
                    </a:prstGeom>
                    <a:solidFill>
                      <a:srgbClr val="FFFFFF"/>
                    </a:solidFill>
                    <a:ln w="9525">
                      <a:noFill/>
                      <a:miter lim="800000"/>
                      <a:headEnd/>
                      <a:tailEnd/>
                    </a:ln>
                  </pic:spPr>
                </pic:pic>
              </a:graphicData>
            </a:graphic>
          </wp:inline>
        </w:drawing>
      </w:r>
    </w:p>
    <w:p w:rsidR="00AF1819" w:rsidRDefault="00AF1819" w:rsidP="00AF1819">
      <w:pPr>
        <w:jc w:val="center"/>
      </w:pPr>
    </w:p>
    <w:p w:rsidR="00AF1819" w:rsidRPr="00306C83" w:rsidRDefault="00AF1819" w:rsidP="00AF1819">
      <w:pPr>
        <w:jc w:val="center"/>
        <w:rPr>
          <w:b/>
          <w:color w:val="CC0000"/>
          <w:sz w:val="28"/>
          <w:szCs w:val="28"/>
          <w:lang w:val="en-US"/>
        </w:rPr>
      </w:pPr>
      <w:r w:rsidRPr="00306C83">
        <w:rPr>
          <w:b/>
          <w:color w:val="CC0000"/>
          <w:sz w:val="28"/>
          <w:szCs w:val="28"/>
          <w:lang w:val="en-US"/>
        </w:rPr>
        <w:t>The Norwegian-American Histor</w:t>
      </w:r>
      <w:r>
        <w:rPr>
          <w:b/>
          <w:color w:val="CC0000"/>
          <w:sz w:val="28"/>
          <w:szCs w:val="28"/>
          <w:lang w:val="en-US"/>
        </w:rPr>
        <w:t>ical Association, Norway</w:t>
      </w:r>
    </w:p>
    <w:p w:rsidR="00AF1819" w:rsidRPr="00306C83" w:rsidRDefault="00AF1819" w:rsidP="00AF1819">
      <w:pPr>
        <w:jc w:val="center"/>
        <w:rPr>
          <w:b/>
          <w:color w:val="CC0000"/>
          <w:sz w:val="28"/>
          <w:szCs w:val="28"/>
          <w:lang w:val="en-US"/>
        </w:rPr>
      </w:pPr>
      <w:r w:rsidRPr="00306C83">
        <w:rPr>
          <w:b/>
          <w:color w:val="CC0000"/>
          <w:sz w:val="28"/>
          <w:szCs w:val="28"/>
          <w:lang w:val="en-US"/>
        </w:rPr>
        <w:t>(NAHA-Norge)</w:t>
      </w:r>
    </w:p>
    <w:p w:rsidR="00AF1819" w:rsidRPr="00801D6E" w:rsidRDefault="00AF1819" w:rsidP="00AF1819">
      <w:pPr>
        <w:pStyle w:val="Standard"/>
        <w:spacing w:after="0"/>
        <w:jc w:val="center"/>
        <w:rPr>
          <w:rFonts w:ascii="Times New Roman" w:hAnsi="Times New Roman" w:cs="Times New Roman"/>
          <w:sz w:val="24"/>
          <w:szCs w:val="24"/>
          <w:lang w:val="nn-NO"/>
        </w:rPr>
      </w:pPr>
      <w:r w:rsidRPr="00801D6E">
        <w:rPr>
          <w:rFonts w:ascii="Times New Roman" w:hAnsi="Times New Roman" w:cs="Times New Roman"/>
          <w:sz w:val="24"/>
          <w:szCs w:val="24"/>
          <w:lang w:val="nn-NO"/>
        </w:rPr>
        <w:t>DET NORSK-AMERIKANSKE HISTORIELAGET I NORGE</w:t>
      </w:r>
    </w:p>
    <w:p w:rsidR="00AF1819" w:rsidRPr="00801D6E" w:rsidRDefault="00AF1819" w:rsidP="00AF1819">
      <w:pPr>
        <w:pStyle w:val="Standard"/>
        <w:spacing w:after="0"/>
        <w:jc w:val="center"/>
        <w:rPr>
          <w:rFonts w:ascii="Times New Roman" w:hAnsi="Times New Roman" w:cs="Times New Roman"/>
          <w:sz w:val="24"/>
          <w:szCs w:val="24"/>
          <w:lang w:val="nn-NO"/>
        </w:rPr>
      </w:pPr>
      <w:r w:rsidRPr="00801D6E">
        <w:rPr>
          <w:rFonts w:ascii="Times New Roman" w:hAnsi="Times New Roman" w:cs="Times New Roman"/>
          <w:sz w:val="24"/>
          <w:szCs w:val="24"/>
          <w:lang w:val="nn-NO"/>
        </w:rPr>
        <w:t>(NAHA-Norge)</w:t>
      </w:r>
    </w:p>
    <w:p w:rsidR="00AF1819" w:rsidRPr="00AF1819" w:rsidRDefault="00AF1819" w:rsidP="00AF1819">
      <w:pPr>
        <w:pStyle w:val="Standard"/>
        <w:spacing w:after="0"/>
        <w:jc w:val="center"/>
        <w:rPr>
          <w:rFonts w:ascii="Times New Roman" w:hAnsi="Times New Roman" w:cs="Times New Roman"/>
          <w:sz w:val="28"/>
          <w:szCs w:val="28"/>
          <w:lang w:val="nn-NO"/>
        </w:rPr>
      </w:pPr>
    </w:p>
    <w:p w:rsidR="00F30EA5" w:rsidRDefault="00AF1819" w:rsidP="00AF1819">
      <w:pPr>
        <w:pStyle w:val="Standard"/>
        <w:jc w:val="center"/>
        <w:rPr>
          <w:sz w:val="32"/>
          <w:szCs w:val="32"/>
          <w:lang w:val="nn-NO"/>
        </w:rPr>
      </w:pPr>
      <w:r w:rsidRPr="006165A2">
        <w:rPr>
          <w:sz w:val="32"/>
          <w:szCs w:val="32"/>
          <w:lang w:val="nn-NO"/>
        </w:rPr>
        <w:t>Seminar XI</w:t>
      </w:r>
      <w:r>
        <w:rPr>
          <w:sz w:val="32"/>
          <w:szCs w:val="32"/>
          <w:lang w:val="nn-NO"/>
        </w:rPr>
        <w:t>V</w:t>
      </w:r>
      <w:r w:rsidRPr="006165A2">
        <w:rPr>
          <w:sz w:val="32"/>
          <w:szCs w:val="32"/>
          <w:lang w:val="nn-NO"/>
        </w:rPr>
        <w:t xml:space="preserve">: </w:t>
      </w:r>
    </w:p>
    <w:p w:rsidR="00AF1819" w:rsidRPr="00F30EA5" w:rsidRDefault="00AF1819" w:rsidP="00AF1819">
      <w:pPr>
        <w:pStyle w:val="Standard"/>
        <w:jc w:val="center"/>
        <w:rPr>
          <w:rFonts w:ascii="Times New Roman" w:eastAsia="Times New Roman" w:hAnsi="Times New Roman" w:cs="Times New Roman"/>
          <w:i/>
          <w:iCs/>
          <w:sz w:val="28"/>
          <w:szCs w:val="28"/>
          <w:lang w:val="en-GB" w:eastAsia="nb-NO"/>
        </w:rPr>
      </w:pPr>
      <w:r w:rsidRPr="00F30EA5">
        <w:rPr>
          <w:i/>
          <w:sz w:val="32"/>
          <w:szCs w:val="32"/>
          <w:lang w:val="en-GB"/>
        </w:rPr>
        <w:t>Nordic Identity Formation in a Transnational Context</w:t>
      </w:r>
    </w:p>
    <w:p w:rsidR="00AF1819" w:rsidRPr="00801D6E" w:rsidRDefault="00AF1819" w:rsidP="00AF1819">
      <w:pPr>
        <w:pStyle w:val="Standard"/>
        <w:jc w:val="center"/>
        <w:rPr>
          <w:b/>
          <w:sz w:val="24"/>
          <w:szCs w:val="24"/>
          <w:lang w:val="nn-NO"/>
        </w:rPr>
      </w:pPr>
      <w:r w:rsidRPr="00801D6E">
        <w:rPr>
          <w:rFonts w:ascii="Trebuchet MS" w:hAnsi="Trebuchet MS"/>
          <w:b/>
          <w:sz w:val="24"/>
          <w:szCs w:val="24"/>
          <w:lang w:val="nn-NO"/>
        </w:rPr>
        <w:t>Norsk Utvandrermuseum, Stange ved Hamar</w:t>
      </w:r>
    </w:p>
    <w:p w:rsidR="00AF1819" w:rsidRPr="00801D6E" w:rsidRDefault="00AF1819" w:rsidP="00AF1819">
      <w:pPr>
        <w:pStyle w:val="Standard"/>
        <w:jc w:val="center"/>
        <w:rPr>
          <w:b/>
          <w:sz w:val="24"/>
          <w:szCs w:val="24"/>
          <w:lang w:val="nn-NO"/>
        </w:rPr>
      </w:pPr>
      <w:r w:rsidRPr="00801D6E">
        <w:rPr>
          <w:b/>
          <w:sz w:val="24"/>
          <w:szCs w:val="24"/>
          <w:lang w:val="nn-NO"/>
        </w:rPr>
        <w:t>17.-20. juni 2020</w:t>
      </w:r>
    </w:p>
    <w:p w:rsidR="00AF1819" w:rsidRPr="00AF1819" w:rsidRDefault="00AF1819" w:rsidP="003C0EDF">
      <w:pPr>
        <w:rPr>
          <w:rFonts w:ascii="Calibri" w:hAnsi="Calibri" w:cs="Calibri"/>
          <w:b/>
          <w:i/>
          <w:color w:val="1F497D"/>
          <w:lang w:val="nn-NO" w:eastAsia="en-US"/>
        </w:rPr>
      </w:pPr>
    </w:p>
    <w:p w:rsidR="0030455A" w:rsidRPr="00A81556" w:rsidRDefault="0030455A" w:rsidP="003C0EDF">
      <w:pPr>
        <w:rPr>
          <w:rFonts w:ascii="Calibri" w:hAnsi="Calibri" w:cs="Calibri"/>
          <w:b/>
          <w:color w:val="1F497D"/>
          <w:sz w:val="22"/>
          <w:szCs w:val="22"/>
          <w:lang w:val="en-GB" w:eastAsia="en-US"/>
        </w:rPr>
      </w:pPr>
    </w:p>
    <w:p w:rsidR="0030455A" w:rsidRPr="00A81556" w:rsidRDefault="0030455A" w:rsidP="0030455A">
      <w:pPr>
        <w:rPr>
          <w:rFonts w:ascii="Trebuchet MS" w:hAnsi="Trebuchet MS"/>
          <w:sz w:val="22"/>
          <w:szCs w:val="22"/>
          <w:lang w:val="en-GB"/>
        </w:rPr>
      </w:pPr>
    </w:p>
    <w:p w:rsidR="00A81556" w:rsidRPr="00B50586" w:rsidRDefault="00A81556" w:rsidP="00A81556">
      <w:pPr>
        <w:spacing w:before="100" w:beforeAutospacing="1" w:after="100" w:afterAutospacing="1" w:line="360" w:lineRule="auto"/>
        <w:rPr>
          <w:rFonts w:eastAsia="Times New Roman"/>
          <w:lang w:val="en-US"/>
        </w:rPr>
      </w:pPr>
      <w:r w:rsidRPr="00B50586">
        <w:rPr>
          <w:rFonts w:eastAsia="Times New Roman"/>
          <w:lang w:val="en-US"/>
        </w:rPr>
        <w:t xml:space="preserve">The </w:t>
      </w:r>
      <w:r>
        <w:rPr>
          <w:rFonts w:eastAsia="Times New Roman"/>
          <w:lang w:val="en-US"/>
        </w:rPr>
        <w:t>14</w:t>
      </w:r>
      <w:r w:rsidRPr="003D595F">
        <w:rPr>
          <w:rFonts w:eastAsia="Times New Roman"/>
          <w:vertAlign w:val="superscript"/>
          <w:lang w:val="en-US"/>
        </w:rPr>
        <w:t>th</w:t>
      </w:r>
      <w:r>
        <w:rPr>
          <w:rFonts w:eastAsia="Times New Roman"/>
          <w:lang w:val="en-US"/>
        </w:rPr>
        <w:t xml:space="preserve"> </w:t>
      </w:r>
      <w:r w:rsidRPr="00B50586">
        <w:rPr>
          <w:rFonts w:eastAsia="Times New Roman"/>
          <w:lang w:val="en-US"/>
        </w:rPr>
        <w:t>seminar of the Norwegian-American Historical Association</w:t>
      </w:r>
      <w:r>
        <w:rPr>
          <w:rFonts w:eastAsia="Times New Roman"/>
          <w:lang w:val="en-US"/>
        </w:rPr>
        <w:t xml:space="preserve"> in </w:t>
      </w:r>
      <w:r w:rsidRPr="00B50586">
        <w:rPr>
          <w:rFonts w:eastAsia="Times New Roman"/>
          <w:lang w:val="en-US"/>
        </w:rPr>
        <w:t xml:space="preserve">Norway, entitled </w:t>
      </w:r>
      <w:r>
        <w:rPr>
          <w:rFonts w:eastAsia="Times New Roman"/>
          <w:i/>
          <w:iCs/>
          <w:lang w:val="en-US"/>
        </w:rPr>
        <w:t xml:space="preserve">Nordic Identity Formation in a Transnational Context </w:t>
      </w:r>
      <w:r w:rsidRPr="00B50586">
        <w:rPr>
          <w:rFonts w:eastAsia="Times New Roman"/>
          <w:lang w:val="en-US"/>
        </w:rPr>
        <w:t xml:space="preserve">will be held on June </w:t>
      </w:r>
      <w:r>
        <w:rPr>
          <w:rFonts w:eastAsia="Times New Roman"/>
          <w:lang w:val="en-US"/>
        </w:rPr>
        <w:t>17</w:t>
      </w:r>
      <w:r w:rsidRPr="00B50586">
        <w:rPr>
          <w:rFonts w:eastAsia="Times New Roman"/>
          <w:lang w:val="en-US"/>
        </w:rPr>
        <w:t>-</w:t>
      </w:r>
      <w:r>
        <w:rPr>
          <w:rFonts w:eastAsia="Times New Roman"/>
          <w:lang w:val="en-US"/>
        </w:rPr>
        <w:t>20</w:t>
      </w:r>
      <w:r w:rsidRPr="00B50586">
        <w:rPr>
          <w:rFonts w:eastAsia="Times New Roman"/>
          <w:lang w:val="en-US"/>
        </w:rPr>
        <w:t>, 20</w:t>
      </w:r>
      <w:r>
        <w:rPr>
          <w:rFonts w:eastAsia="Times New Roman"/>
          <w:lang w:val="en-US"/>
        </w:rPr>
        <w:t>20</w:t>
      </w:r>
      <w:r w:rsidRPr="00B50586">
        <w:rPr>
          <w:rFonts w:eastAsia="Times New Roman"/>
          <w:lang w:val="en-US"/>
        </w:rPr>
        <w:t xml:space="preserve">, </w:t>
      </w:r>
      <w:r>
        <w:rPr>
          <w:rFonts w:eastAsia="Times New Roman"/>
          <w:lang w:val="en-US"/>
        </w:rPr>
        <w:t>at Norsk Utvandrermuseum, Stange ved Hamar</w:t>
      </w:r>
      <w:r w:rsidRPr="00B50586">
        <w:rPr>
          <w:rFonts w:eastAsia="Times New Roman"/>
          <w:lang w:val="en-US"/>
        </w:rPr>
        <w:t xml:space="preserve">, Norway. </w:t>
      </w:r>
    </w:p>
    <w:p w:rsidR="00F30EA5" w:rsidRPr="00A81556" w:rsidRDefault="00F30EA5" w:rsidP="00F30EA5">
      <w:pPr>
        <w:rPr>
          <w:rFonts w:ascii="Calibri" w:hAnsi="Calibri" w:cs="Calibri"/>
          <w:b/>
          <w:i/>
          <w:color w:val="1F497D"/>
          <w:lang w:val="en-GB" w:eastAsia="en-US"/>
        </w:rPr>
      </w:pPr>
      <w:r w:rsidRPr="00A81556">
        <w:rPr>
          <w:rFonts w:ascii="Calibri" w:hAnsi="Calibri" w:cs="Calibri"/>
          <w:b/>
          <w:i/>
          <w:color w:val="1F497D"/>
          <w:lang w:val="en-GB" w:eastAsia="en-US"/>
        </w:rPr>
        <w:t>Call for Papers</w:t>
      </w:r>
    </w:p>
    <w:p w:rsidR="00F30EA5" w:rsidRPr="00A81556" w:rsidRDefault="00F30EA5" w:rsidP="003C0EDF">
      <w:pPr>
        <w:rPr>
          <w:rFonts w:ascii="Calibri" w:hAnsi="Calibri" w:cs="Calibri"/>
          <w:b/>
          <w:color w:val="1F497D"/>
          <w:sz w:val="22"/>
          <w:szCs w:val="22"/>
          <w:lang w:val="en-US" w:eastAsia="en-US"/>
        </w:rPr>
      </w:pPr>
    </w:p>
    <w:p w:rsidR="00A81556" w:rsidRPr="00A81556" w:rsidRDefault="00A81556" w:rsidP="003C0EDF">
      <w:pPr>
        <w:rPr>
          <w:rFonts w:ascii="Calibri" w:hAnsi="Calibri" w:cs="Calibri"/>
          <w:b/>
          <w:color w:val="1F497D"/>
          <w:sz w:val="22"/>
          <w:szCs w:val="22"/>
          <w:lang w:val="en-GB" w:eastAsia="en-US"/>
        </w:rPr>
      </w:pPr>
    </w:p>
    <w:p w:rsidR="00720568" w:rsidRPr="00A463F1" w:rsidRDefault="001B03CC" w:rsidP="003C0EDF">
      <w:pPr>
        <w:rPr>
          <w:rFonts w:ascii="Calibri" w:hAnsi="Calibri" w:cs="Calibri"/>
          <w:b/>
          <w:color w:val="1F497D"/>
          <w:sz w:val="22"/>
          <w:szCs w:val="22"/>
          <w:lang w:val="en-US" w:eastAsia="en-US"/>
        </w:rPr>
      </w:pPr>
      <w:r>
        <w:rPr>
          <w:rFonts w:ascii="Calibri" w:hAnsi="Calibri" w:cs="Calibri"/>
          <w:b/>
          <w:color w:val="1F497D"/>
          <w:sz w:val="22"/>
          <w:szCs w:val="22"/>
          <w:lang w:val="en-US" w:eastAsia="en-US"/>
        </w:rPr>
        <w:t xml:space="preserve">Nordic </w:t>
      </w:r>
      <w:r w:rsidR="00B3315D" w:rsidRPr="00A463F1">
        <w:rPr>
          <w:rFonts w:ascii="Calibri" w:hAnsi="Calibri" w:cs="Calibri"/>
          <w:b/>
          <w:color w:val="1F497D"/>
          <w:sz w:val="22"/>
          <w:szCs w:val="22"/>
          <w:lang w:val="en-US" w:eastAsia="en-US"/>
        </w:rPr>
        <w:t>Identity Formation</w:t>
      </w:r>
      <w:r w:rsidR="00BE3871" w:rsidRPr="00A463F1">
        <w:rPr>
          <w:rFonts w:ascii="Calibri" w:hAnsi="Calibri" w:cs="Calibri"/>
          <w:b/>
          <w:color w:val="1F497D"/>
          <w:sz w:val="22"/>
          <w:szCs w:val="22"/>
          <w:lang w:val="en-US" w:eastAsia="en-US"/>
        </w:rPr>
        <w:t xml:space="preserve"> in a Transnational Context</w:t>
      </w:r>
    </w:p>
    <w:p w:rsidR="00B3315D" w:rsidRDefault="00B3315D" w:rsidP="003C0EDF">
      <w:pPr>
        <w:rPr>
          <w:rFonts w:ascii="Calibri" w:hAnsi="Calibri" w:cs="Calibri"/>
          <w:color w:val="1F497D"/>
          <w:sz w:val="22"/>
          <w:szCs w:val="22"/>
          <w:lang w:val="en-US" w:eastAsia="en-US"/>
        </w:rPr>
      </w:pPr>
    </w:p>
    <w:p w:rsidR="00365424" w:rsidRDefault="00AA2174" w:rsidP="00A463F1">
      <w:pPr>
        <w:rPr>
          <w:rFonts w:ascii="Calibri" w:hAnsi="Calibri" w:cs="Calibri"/>
          <w:color w:val="1F497D"/>
          <w:sz w:val="22"/>
          <w:szCs w:val="22"/>
          <w:lang w:val="en-US" w:eastAsia="en-US"/>
        </w:rPr>
      </w:pPr>
      <w:r w:rsidRPr="00AA2174">
        <w:rPr>
          <w:rFonts w:ascii="Calibri" w:hAnsi="Calibri" w:cs="Calibri"/>
          <w:color w:val="1F497D"/>
          <w:sz w:val="22"/>
          <w:szCs w:val="22"/>
          <w:lang w:val="en-US" w:eastAsia="en-US"/>
        </w:rPr>
        <w:t>The NAHA-Nor</w:t>
      </w:r>
      <w:r w:rsidR="00A463F1">
        <w:rPr>
          <w:rFonts w:ascii="Calibri" w:hAnsi="Calibri" w:cs="Calibri"/>
          <w:color w:val="1F497D"/>
          <w:sz w:val="22"/>
          <w:szCs w:val="22"/>
          <w:lang w:val="en-US" w:eastAsia="en-US"/>
        </w:rPr>
        <w:t xml:space="preserve">ge seminar in 2020 will </w:t>
      </w:r>
      <w:r w:rsidR="001B03CC">
        <w:rPr>
          <w:rFonts w:ascii="Calibri" w:hAnsi="Calibri" w:cs="Calibri"/>
          <w:color w:val="1F497D"/>
          <w:sz w:val="22"/>
          <w:szCs w:val="22"/>
          <w:lang w:val="en-US" w:eastAsia="en-US"/>
        </w:rPr>
        <w:t>explore identity formation among</w:t>
      </w:r>
      <w:r w:rsidR="00A463F1">
        <w:rPr>
          <w:rFonts w:ascii="Calibri" w:hAnsi="Calibri" w:cs="Calibri"/>
          <w:color w:val="1F497D"/>
          <w:sz w:val="22"/>
          <w:szCs w:val="22"/>
          <w:lang w:val="en-US" w:eastAsia="en-US"/>
        </w:rPr>
        <w:t xml:space="preserve"> Norwegian immigrants and immigrant groups from </w:t>
      </w:r>
      <w:r w:rsidR="003D281E">
        <w:rPr>
          <w:rFonts w:ascii="Calibri" w:hAnsi="Calibri" w:cs="Calibri"/>
          <w:color w:val="1F497D"/>
          <w:sz w:val="22"/>
          <w:szCs w:val="22"/>
          <w:lang w:val="en-US" w:eastAsia="en-US"/>
        </w:rPr>
        <w:t xml:space="preserve">other </w:t>
      </w:r>
      <w:r w:rsidR="001B03CC">
        <w:rPr>
          <w:rFonts w:ascii="Calibri" w:hAnsi="Calibri" w:cs="Calibri"/>
          <w:color w:val="1F497D"/>
          <w:sz w:val="22"/>
          <w:szCs w:val="22"/>
          <w:lang w:val="en-US" w:eastAsia="en-US"/>
        </w:rPr>
        <w:t>Nordic</w:t>
      </w:r>
      <w:r w:rsidR="003D281E">
        <w:rPr>
          <w:rFonts w:ascii="Calibri" w:hAnsi="Calibri" w:cs="Calibri"/>
          <w:color w:val="1F497D"/>
          <w:sz w:val="22"/>
          <w:szCs w:val="22"/>
          <w:lang w:val="en-US" w:eastAsia="en-US"/>
        </w:rPr>
        <w:t xml:space="preserve"> </w:t>
      </w:r>
      <w:r w:rsidR="00A463F1">
        <w:rPr>
          <w:rFonts w:ascii="Calibri" w:hAnsi="Calibri" w:cs="Calibri"/>
          <w:color w:val="1F497D"/>
          <w:sz w:val="22"/>
          <w:szCs w:val="22"/>
          <w:lang w:val="en-US" w:eastAsia="en-US"/>
        </w:rPr>
        <w:t xml:space="preserve">countries </w:t>
      </w:r>
      <w:r w:rsidR="001B03CC">
        <w:rPr>
          <w:rFonts w:ascii="Calibri" w:hAnsi="Calibri" w:cs="Calibri"/>
          <w:color w:val="1F497D"/>
          <w:sz w:val="22"/>
          <w:szCs w:val="22"/>
          <w:lang w:val="en-US" w:eastAsia="en-US"/>
        </w:rPr>
        <w:t xml:space="preserve">in America </w:t>
      </w:r>
      <w:r w:rsidR="00A463F1">
        <w:rPr>
          <w:rFonts w:ascii="Calibri" w:hAnsi="Calibri" w:cs="Calibri"/>
          <w:color w:val="1F497D"/>
          <w:sz w:val="22"/>
          <w:szCs w:val="22"/>
          <w:lang w:val="en-US" w:eastAsia="en-US"/>
        </w:rPr>
        <w:t xml:space="preserve">from the time of immigration until present. </w:t>
      </w:r>
      <w:r w:rsidR="00336B8F" w:rsidRPr="00336B8F">
        <w:rPr>
          <w:rFonts w:ascii="Calibri" w:hAnsi="Calibri" w:cs="Calibri"/>
          <w:color w:val="1F497D"/>
          <w:sz w:val="22"/>
          <w:szCs w:val="22"/>
          <w:lang w:val="en-US" w:eastAsia="en-US"/>
        </w:rPr>
        <w:t>Likewise, as part of globalization immigra</w:t>
      </w:r>
      <w:r w:rsidR="00CD572D">
        <w:rPr>
          <w:rFonts w:ascii="Calibri" w:hAnsi="Calibri" w:cs="Calibri"/>
          <w:color w:val="1F497D"/>
          <w:sz w:val="22"/>
          <w:szCs w:val="22"/>
          <w:lang w:val="en-US" w:eastAsia="en-US"/>
        </w:rPr>
        <w:t xml:space="preserve">nts become transnationals, where immigrants have increasing </w:t>
      </w:r>
      <w:r w:rsidR="00336B8F" w:rsidRPr="00336B8F">
        <w:rPr>
          <w:rFonts w:ascii="Calibri" w:hAnsi="Calibri" w:cs="Calibri"/>
          <w:color w:val="1F497D"/>
          <w:sz w:val="22"/>
          <w:szCs w:val="22"/>
          <w:lang w:val="en-US" w:eastAsia="en-US"/>
        </w:rPr>
        <w:t>contact with individuals and organizations in their country of origin.</w:t>
      </w:r>
      <w:r w:rsidR="00336B8F">
        <w:rPr>
          <w:rFonts w:ascii="Calibri" w:hAnsi="Calibri" w:cs="Calibri"/>
          <w:color w:val="1F497D"/>
          <w:sz w:val="22"/>
          <w:szCs w:val="22"/>
          <w:lang w:val="en-US" w:eastAsia="en-US"/>
        </w:rPr>
        <w:t xml:space="preserve"> Thus, the </w:t>
      </w:r>
      <w:r w:rsidR="00A463F1">
        <w:rPr>
          <w:rFonts w:ascii="Calibri" w:hAnsi="Calibri" w:cs="Calibri"/>
          <w:color w:val="1F497D"/>
          <w:sz w:val="22"/>
          <w:szCs w:val="22"/>
          <w:lang w:val="en-US" w:eastAsia="en-US"/>
        </w:rPr>
        <w:t xml:space="preserve">seminar </w:t>
      </w:r>
      <w:r w:rsidR="001B03CC">
        <w:rPr>
          <w:rFonts w:ascii="Calibri" w:hAnsi="Calibri" w:cs="Calibri"/>
          <w:color w:val="1F497D"/>
          <w:sz w:val="22"/>
          <w:szCs w:val="22"/>
          <w:lang w:val="en-US" w:eastAsia="en-US"/>
        </w:rPr>
        <w:t>focus</w:t>
      </w:r>
      <w:r w:rsidR="00336B8F">
        <w:rPr>
          <w:rFonts w:ascii="Calibri" w:hAnsi="Calibri" w:cs="Calibri"/>
          <w:color w:val="1F497D"/>
          <w:sz w:val="22"/>
          <w:szCs w:val="22"/>
          <w:lang w:val="en-US" w:eastAsia="en-US"/>
        </w:rPr>
        <w:t>es</w:t>
      </w:r>
      <w:r w:rsidR="001B03CC">
        <w:rPr>
          <w:rFonts w:ascii="Calibri" w:hAnsi="Calibri" w:cs="Calibri"/>
          <w:color w:val="1F497D"/>
          <w:sz w:val="22"/>
          <w:szCs w:val="22"/>
          <w:lang w:val="en-US" w:eastAsia="en-US"/>
        </w:rPr>
        <w:t xml:space="preserve"> on the</w:t>
      </w:r>
      <w:r w:rsidR="001B03CC" w:rsidRPr="001B03CC">
        <w:rPr>
          <w:rFonts w:ascii="Calibri" w:hAnsi="Calibri" w:cs="Calibri"/>
          <w:color w:val="1F497D"/>
          <w:sz w:val="22"/>
          <w:szCs w:val="22"/>
          <w:lang w:val="en-US" w:eastAsia="en-US"/>
        </w:rPr>
        <w:t xml:space="preserve"> </w:t>
      </w:r>
      <w:r w:rsidR="003B1241">
        <w:rPr>
          <w:rFonts w:ascii="Calibri" w:hAnsi="Calibri" w:cs="Calibri"/>
          <w:color w:val="1F497D"/>
          <w:sz w:val="22"/>
          <w:szCs w:val="22"/>
          <w:lang w:val="en-US" w:eastAsia="en-US"/>
        </w:rPr>
        <w:t xml:space="preserve">transnational </w:t>
      </w:r>
      <w:r w:rsidR="00E36BEE">
        <w:rPr>
          <w:rFonts w:ascii="Calibri" w:hAnsi="Calibri" w:cs="Calibri"/>
          <w:color w:val="1F497D"/>
          <w:sz w:val="22"/>
          <w:szCs w:val="22"/>
          <w:lang w:val="en-US" w:eastAsia="en-US"/>
        </w:rPr>
        <w:t>ties between</w:t>
      </w:r>
      <w:r w:rsidR="001B03CC" w:rsidRPr="001B03CC">
        <w:rPr>
          <w:rFonts w:ascii="Calibri" w:hAnsi="Calibri" w:cs="Calibri"/>
          <w:color w:val="1F497D"/>
          <w:sz w:val="22"/>
          <w:szCs w:val="22"/>
          <w:lang w:val="en-US" w:eastAsia="en-US"/>
        </w:rPr>
        <w:t xml:space="preserve"> </w:t>
      </w:r>
      <w:r w:rsidR="00E36BEE">
        <w:rPr>
          <w:rFonts w:ascii="Calibri" w:hAnsi="Calibri" w:cs="Calibri"/>
          <w:color w:val="1F497D"/>
          <w:sz w:val="22"/>
          <w:szCs w:val="22"/>
          <w:lang w:val="en-US" w:eastAsia="en-US"/>
        </w:rPr>
        <w:t>immigrants from the Nordic countries in America</w:t>
      </w:r>
      <w:r w:rsidR="003B1241">
        <w:rPr>
          <w:rFonts w:ascii="Calibri" w:hAnsi="Calibri" w:cs="Calibri"/>
          <w:color w:val="1F497D"/>
          <w:sz w:val="22"/>
          <w:szCs w:val="22"/>
          <w:lang w:val="en-US" w:eastAsia="en-US"/>
        </w:rPr>
        <w:t xml:space="preserve"> </w:t>
      </w:r>
      <w:r w:rsidR="00336B8F">
        <w:rPr>
          <w:rFonts w:ascii="Calibri" w:hAnsi="Calibri" w:cs="Calibri"/>
          <w:color w:val="1F497D"/>
          <w:sz w:val="22"/>
          <w:szCs w:val="22"/>
          <w:lang w:val="en-US" w:eastAsia="en-US"/>
        </w:rPr>
        <w:t xml:space="preserve">and </w:t>
      </w:r>
      <w:r w:rsidR="00CD572D">
        <w:rPr>
          <w:rFonts w:ascii="Calibri" w:hAnsi="Calibri" w:cs="Calibri"/>
          <w:color w:val="1F497D"/>
          <w:sz w:val="22"/>
          <w:szCs w:val="22"/>
          <w:lang w:val="en-US" w:eastAsia="en-US"/>
        </w:rPr>
        <w:t>between the immigrants and</w:t>
      </w:r>
      <w:r w:rsidR="00E36BEE">
        <w:rPr>
          <w:rFonts w:ascii="Calibri" w:hAnsi="Calibri" w:cs="Calibri"/>
          <w:color w:val="1F497D"/>
          <w:sz w:val="22"/>
          <w:szCs w:val="22"/>
          <w:lang w:val="en-US" w:eastAsia="en-US"/>
        </w:rPr>
        <w:t xml:space="preserve"> their country of origin and </w:t>
      </w:r>
      <w:r w:rsidR="00336B8F">
        <w:rPr>
          <w:rFonts w:ascii="Calibri" w:hAnsi="Calibri" w:cs="Calibri"/>
          <w:color w:val="1F497D"/>
          <w:sz w:val="22"/>
          <w:szCs w:val="22"/>
          <w:lang w:val="en-US" w:eastAsia="en-US"/>
        </w:rPr>
        <w:t>how this contact affected the identity of Nordic Americans</w:t>
      </w:r>
      <w:r w:rsidR="00A463F1">
        <w:rPr>
          <w:rFonts w:ascii="Calibri" w:hAnsi="Calibri" w:cs="Calibri"/>
          <w:color w:val="1F497D"/>
          <w:sz w:val="22"/>
          <w:szCs w:val="22"/>
          <w:lang w:val="en-US" w:eastAsia="en-US"/>
        </w:rPr>
        <w:t>.</w:t>
      </w:r>
      <w:r w:rsidR="003B1241">
        <w:rPr>
          <w:rFonts w:ascii="Calibri" w:hAnsi="Calibri" w:cs="Calibri"/>
          <w:color w:val="1F497D"/>
          <w:sz w:val="22"/>
          <w:szCs w:val="22"/>
          <w:lang w:val="en-US" w:eastAsia="en-US"/>
        </w:rPr>
        <w:t xml:space="preserve"> </w:t>
      </w:r>
    </w:p>
    <w:p w:rsidR="00365424" w:rsidRDefault="00365424" w:rsidP="00A463F1">
      <w:pPr>
        <w:rPr>
          <w:rFonts w:ascii="Calibri" w:hAnsi="Calibri" w:cs="Calibri"/>
          <w:color w:val="1F497D"/>
          <w:sz w:val="22"/>
          <w:szCs w:val="22"/>
          <w:lang w:val="en-US" w:eastAsia="en-US"/>
        </w:rPr>
      </w:pPr>
    </w:p>
    <w:p w:rsidR="00A463F1" w:rsidRDefault="003B1241" w:rsidP="00A463F1">
      <w:pPr>
        <w:rPr>
          <w:rFonts w:ascii="Calibri" w:hAnsi="Calibri" w:cs="Calibri"/>
          <w:color w:val="1F497D"/>
          <w:sz w:val="22"/>
          <w:szCs w:val="22"/>
          <w:lang w:val="en-US" w:eastAsia="en-US"/>
        </w:rPr>
      </w:pPr>
      <w:r>
        <w:rPr>
          <w:rFonts w:ascii="Calibri" w:hAnsi="Calibri" w:cs="Calibri"/>
          <w:color w:val="1F497D"/>
          <w:sz w:val="22"/>
          <w:szCs w:val="22"/>
          <w:lang w:val="en-US" w:eastAsia="en-US"/>
        </w:rPr>
        <w:t xml:space="preserve">In </w:t>
      </w:r>
      <w:r w:rsidR="00E36BEE">
        <w:rPr>
          <w:rFonts w:ascii="Calibri" w:hAnsi="Calibri" w:cs="Calibri"/>
          <w:color w:val="1F497D"/>
          <w:sz w:val="22"/>
          <w:szCs w:val="22"/>
          <w:lang w:val="en-US" w:eastAsia="en-US"/>
        </w:rPr>
        <w:t>early scholarship of</w:t>
      </w:r>
      <w:r>
        <w:rPr>
          <w:rFonts w:ascii="Calibri" w:hAnsi="Calibri" w:cs="Calibri"/>
          <w:color w:val="1F497D"/>
          <w:sz w:val="22"/>
          <w:szCs w:val="22"/>
          <w:lang w:val="en-US" w:eastAsia="en-US"/>
        </w:rPr>
        <w:t xml:space="preserve"> migration and ethnic history</w:t>
      </w:r>
      <w:r w:rsidR="00E36BEE">
        <w:rPr>
          <w:rFonts w:ascii="Calibri" w:hAnsi="Calibri" w:cs="Calibri"/>
          <w:color w:val="1F497D"/>
          <w:sz w:val="22"/>
          <w:szCs w:val="22"/>
          <w:lang w:val="en-US" w:eastAsia="en-US"/>
        </w:rPr>
        <w:t>,</w:t>
      </w:r>
      <w:r>
        <w:rPr>
          <w:rFonts w:ascii="Calibri" w:hAnsi="Calibri" w:cs="Calibri"/>
          <w:color w:val="1F497D"/>
          <w:sz w:val="22"/>
          <w:szCs w:val="22"/>
          <w:lang w:val="en-US" w:eastAsia="en-US"/>
        </w:rPr>
        <w:t xml:space="preserve"> scholars characterized the immigration experience as a</w:t>
      </w:r>
      <w:r w:rsidR="00336B8F">
        <w:rPr>
          <w:rFonts w:ascii="Calibri" w:hAnsi="Calibri" w:cs="Calibri"/>
          <w:color w:val="1F497D"/>
          <w:sz w:val="22"/>
          <w:szCs w:val="22"/>
          <w:lang w:val="en-US" w:eastAsia="en-US"/>
        </w:rPr>
        <w:t>n inevitable process in which immigrants were molded to become Americans of some sort</w:t>
      </w:r>
      <w:r>
        <w:rPr>
          <w:rFonts w:ascii="Calibri" w:hAnsi="Calibri" w:cs="Calibri"/>
          <w:color w:val="1F497D"/>
          <w:sz w:val="22"/>
          <w:szCs w:val="22"/>
          <w:lang w:val="en-US" w:eastAsia="en-US"/>
        </w:rPr>
        <w:t>. However,</w:t>
      </w:r>
      <w:r w:rsidR="00CD572D">
        <w:rPr>
          <w:rFonts w:ascii="Calibri" w:hAnsi="Calibri" w:cs="Calibri"/>
          <w:color w:val="1F497D"/>
          <w:sz w:val="22"/>
          <w:szCs w:val="22"/>
          <w:lang w:val="en-US" w:eastAsia="en-US"/>
        </w:rPr>
        <w:t xml:space="preserve"> migration</w:t>
      </w:r>
      <w:r>
        <w:rPr>
          <w:rFonts w:ascii="Calibri" w:hAnsi="Calibri" w:cs="Calibri"/>
          <w:color w:val="1F497D"/>
          <w:sz w:val="22"/>
          <w:szCs w:val="22"/>
          <w:lang w:val="en-US" w:eastAsia="en-US"/>
        </w:rPr>
        <w:t xml:space="preserve"> scholars </w:t>
      </w:r>
      <w:r w:rsidR="00804851">
        <w:rPr>
          <w:rFonts w:ascii="Calibri" w:hAnsi="Calibri" w:cs="Calibri"/>
          <w:color w:val="1F497D"/>
          <w:sz w:val="22"/>
          <w:szCs w:val="22"/>
          <w:lang w:val="en-US" w:eastAsia="en-US"/>
        </w:rPr>
        <w:t>in</w:t>
      </w:r>
      <w:r>
        <w:rPr>
          <w:rFonts w:ascii="Calibri" w:hAnsi="Calibri" w:cs="Calibri"/>
          <w:color w:val="1F497D"/>
          <w:sz w:val="22"/>
          <w:szCs w:val="22"/>
          <w:lang w:val="en-US" w:eastAsia="en-US"/>
        </w:rPr>
        <w:t xml:space="preserve"> the past decades have stated that the </w:t>
      </w:r>
      <w:r w:rsidR="001B03CC">
        <w:rPr>
          <w:rFonts w:ascii="Calibri" w:hAnsi="Calibri" w:cs="Calibri"/>
          <w:color w:val="1F497D"/>
          <w:sz w:val="22"/>
          <w:szCs w:val="22"/>
          <w:lang w:val="en-US" w:eastAsia="en-US"/>
        </w:rPr>
        <w:t>process of identity formation</w:t>
      </w:r>
      <w:r w:rsidR="00C51A6B">
        <w:rPr>
          <w:rFonts w:ascii="Calibri" w:hAnsi="Calibri" w:cs="Calibri"/>
          <w:color w:val="1F497D"/>
          <w:sz w:val="22"/>
          <w:szCs w:val="22"/>
          <w:lang w:val="en-US" w:eastAsia="en-US"/>
        </w:rPr>
        <w:t xml:space="preserve"> usually</w:t>
      </w:r>
      <w:r w:rsidR="001B03CC">
        <w:rPr>
          <w:rFonts w:ascii="Calibri" w:hAnsi="Calibri" w:cs="Calibri"/>
          <w:color w:val="1F497D"/>
          <w:sz w:val="22"/>
          <w:szCs w:val="22"/>
          <w:lang w:val="en-US" w:eastAsia="en-US"/>
        </w:rPr>
        <w:t xml:space="preserve"> develops in a mutual negotiation between the immigrant and the host society in which both may be altered</w:t>
      </w:r>
      <w:r w:rsidR="00C51A6B">
        <w:rPr>
          <w:rFonts w:ascii="Calibri" w:hAnsi="Calibri" w:cs="Calibri"/>
          <w:color w:val="1F497D"/>
          <w:sz w:val="22"/>
          <w:szCs w:val="22"/>
          <w:lang w:val="en-US" w:eastAsia="en-US"/>
        </w:rPr>
        <w:t xml:space="preserve"> during the process</w:t>
      </w:r>
      <w:r w:rsidR="001B03CC">
        <w:rPr>
          <w:rFonts w:ascii="Calibri" w:hAnsi="Calibri" w:cs="Calibri"/>
          <w:color w:val="1F497D"/>
          <w:sz w:val="22"/>
          <w:szCs w:val="22"/>
          <w:lang w:val="en-US" w:eastAsia="en-US"/>
        </w:rPr>
        <w:t xml:space="preserve">. </w:t>
      </w:r>
      <w:r w:rsidR="00076EDA">
        <w:rPr>
          <w:rFonts w:ascii="Calibri" w:hAnsi="Calibri" w:cs="Calibri"/>
          <w:color w:val="1F497D"/>
          <w:sz w:val="22"/>
          <w:szCs w:val="22"/>
          <w:lang w:val="en-US" w:eastAsia="en-US"/>
        </w:rPr>
        <w:t>We</w:t>
      </w:r>
      <w:r w:rsidR="00804851">
        <w:rPr>
          <w:rFonts w:ascii="Calibri" w:hAnsi="Calibri" w:cs="Calibri"/>
          <w:color w:val="1F497D"/>
          <w:sz w:val="22"/>
          <w:szCs w:val="22"/>
          <w:lang w:val="en-US" w:eastAsia="en-US"/>
        </w:rPr>
        <w:t xml:space="preserve"> </w:t>
      </w:r>
      <w:r w:rsidR="00A463F1">
        <w:rPr>
          <w:rFonts w:ascii="Calibri" w:hAnsi="Calibri" w:cs="Calibri"/>
          <w:color w:val="1F497D"/>
          <w:sz w:val="22"/>
          <w:szCs w:val="22"/>
          <w:lang w:val="en-US" w:eastAsia="en-US"/>
        </w:rPr>
        <w:t xml:space="preserve">encourage papers on a wide variety of topics relating to the </w:t>
      </w:r>
      <w:r w:rsidR="003D281E">
        <w:rPr>
          <w:rFonts w:ascii="Calibri" w:hAnsi="Calibri" w:cs="Calibri"/>
          <w:color w:val="1F497D"/>
          <w:sz w:val="22"/>
          <w:szCs w:val="22"/>
          <w:lang w:val="en-US" w:eastAsia="en-US"/>
        </w:rPr>
        <w:t xml:space="preserve">adaptation and </w:t>
      </w:r>
      <w:r w:rsidR="00A463F1">
        <w:rPr>
          <w:rFonts w:ascii="Calibri" w:hAnsi="Calibri" w:cs="Calibri"/>
          <w:color w:val="1F497D"/>
          <w:sz w:val="22"/>
          <w:szCs w:val="22"/>
          <w:lang w:val="en-US" w:eastAsia="en-US"/>
        </w:rPr>
        <w:t xml:space="preserve">identity formation </w:t>
      </w:r>
      <w:r w:rsidR="003D281E">
        <w:rPr>
          <w:rFonts w:ascii="Calibri" w:hAnsi="Calibri" w:cs="Calibri"/>
          <w:color w:val="1F497D"/>
          <w:sz w:val="22"/>
          <w:szCs w:val="22"/>
          <w:lang w:val="en-US" w:eastAsia="en-US"/>
        </w:rPr>
        <w:t>process among</w:t>
      </w:r>
      <w:r w:rsidR="00A463F1">
        <w:rPr>
          <w:rFonts w:ascii="Calibri" w:hAnsi="Calibri" w:cs="Calibri"/>
          <w:color w:val="1F497D"/>
          <w:sz w:val="22"/>
          <w:szCs w:val="22"/>
          <w:lang w:val="en-US" w:eastAsia="en-US"/>
        </w:rPr>
        <w:t xml:space="preserve"> different </w:t>
      </w:r>
      <w:r>
        <w:rPr>
          <w:rFonts w:ascii="Calibri" w:hAnsi="Calibri" w:cs="Calibri"/>
          <w:color w:val="1F497D"/>
          <w:sz w:val="22"/>
          <w:szCs w:val="22"/>
          <w:lang w:val="en-US" w:eastAsia="en-US"/>
        </w:rPr>
        <w:t xml:space="preserve">immigrant </w:t>
      </w:r>
      <w:r w:rsidR="00A463F1">
        <w:rPr>
          <w:rFonts w:ascii="Calibri" w:hAnsi="Calibri" w:cs="Calibri"/>
          <w:color w:val="1F497D"/>
          <w:sz w:val="22"/>
          <w:szCs w:val="22"/>
          <w:lang w:val="en-US" w:eastAsia="en-US"/>
        </w:rPr>
        <w:t xml:space="preserve">groups </w:t>
      </w:r>
      <w:r>
        <w:rPr>
          <w:rFonts w:ascii="Calibri" w:hAnsi="Calibri" w:cs="Calibri"/>
          <w:color w:val="1F497D"/>
          <w:sz w:val="22"/>
          <w:szCs w:val="22"/>
          <w:lang w:val="en-US" w:eastAsia="en-US"/>
        </w:rPr>
        <w:t xml:space="preserve">from </w:t>
      </w:r>
      <w:r w:rsidR="00D44D9B">
        <w:rPr>
          <w:rFonts w:ascii="Calibri" w:hAnsi="Calibri" w:cs="Calibri"/>
          <w:color w:val="1F497D"/>
          <w:sz w:val="22"/>
          <w:szCs w:val="22"/>
          <w:lang w:val="en-US" w:eastAsia="en-US"/>
        </w:rPr>
        <w:t>the Nordic countries</w:t>
      </w:r>
      <w:r>
        <w:rPr>
          <w:rFonts w:ascii="Calibri" w:hAnsi="Calibri" w:cs="Calibri"/>
          <w:color w:val="1F497D"/>
          <w:sz w:val="22"/>
          <w:szCs w:val="22"/>
          <w:lang w:val="en-US" w:eastAsia="en-US"/>
        </w:rPr>
        <w:t xml:space="preserve"> in America </w:t>
      </w:r>
      <w:r w:rsidR="00A463F1">
        <w:rPr>
          <w:rFonts w:ascii="Calibri" w:hAnsi="Calibri" w:cs="Calibri"/>
          <w:color w:val="1F497D"/>
          <w:sz w:val="22"/>
          <w:szCs w:val="22"/>
          <w:lang w:val="en-US" w:eastAsia="en-US"/>
        </w:rPr>
        <w:t xml:space="preserve">relating to </w:t>
      </w:r>
      <w:r w:rsidR="00A463F1" w:rsidRPr="00B64FCD">
        <w:rPr>
          <w:rFonts w:ascii="Calibri" w:hAnsi="Calibri" w:cs="Calibri"/>
          <w:color w:val="1F497D"/>
          <w:sz w:val="22"/>
          <w:szCs w:val="22"/>
          <w:lang w:val="en-US" w:eastAsia="en-US"/>
        </w:rPr>
        <w:t>gender,</w:t>
      </w:r>
      <w:r w:rsidR="001B03CC">
        <w:rPr>
          <w:rFonts w:ascii="Calibri" w:hAnsi="Calibri" w:cs="Calibri"/>
          <w:color w:val="1F497D"/>
          <w:sz w:val="22"/>
          <w:szCs w:val="22"/>
          <w:lang w:val="en-US" w:eastAsia="en-US"/>
        </w:rPr>
        <w:t xml:space="preserve"> class, regional, </w:t>
      </w:r>
      <w:r w:rsidR="00C51A6B">
        <w:rPr>
          <w:rFonts w:ascii="Calibri" w:hAnsi="Calibri" w:cs="Calibri"/>
          <w:color w:val="1F497D"/>
          <w:sz w:val="22"/>
          <w:szCs w:val="22"/>
          <w:lang w:val="en-US" w:eastAsia="en-US"/>
        </w:rPr>
        <w:t xml:space="preserve">and ethnic or </w:t>
      </w:r>
      <w:r w:rsidR="001B03CC">
        <w:rPr>
          <w:rFonts w:ascii="Calibri" w:hAnsi="Calibri" w:cs="Calibri"/>
          <w:color w:val="1F497D"/>
          <w:sz w:val="22"/>
          <w:szCs w:val="22"/>
          <w:lang w:val="en-US" w:eastAsia="en-US"/>
        </w:rPr>
        <w:t xml:space="preserve">indigenous </w:t>
      </w:r>
      <w:r w:rsidR="00A463F1">
        <w:rPr>
          <w:rFonts w:ascii="Calibri" w:hAnsi="Calibri" w:cs="Calibri"/>
          <w:color w:val="1F497D"/>
          <w:sz w:val="22"/>
          <w:szCs w:val="22"/>
          <w:lang w:val="en-US" w:eastAsia="en-US"/>
        </w:rPr>
        <w:lastRenderedPageBreak/>
        <w:t>background.</w:t>
      </w:r>
      <w:r w:rsidR="00A463F1" w:rsidRPr="00B64FCD">
        <w:rPr>
          <w:rFonts w:ascii="Calibri" w:hAnsi="Calibri" w:cs="Calibri"/>
          <w:color w:val="1F497D"/>
          <w:sz w:val="22"/>
          <w:szCs w:val="22"/>
          <w:lang w:val="en-US" w:eastAsia="en-US"/>
        </w:rPr>
        <w:t xml:space="preserve"> </w:t>
      </w:r>
      <w:r w:rsidR="001B03CC">
        <w:rPr>
          <w:rFonts w:ascii="Calibri" w:hAnsi="Calibri" w:cs="Calibri"/>
          <w:color w:val="1F497D"/>
          <w:sz w:val="22"/>
          <w:szCs w:val="22"/>
          <w:lang w:val="en-US" w:eastAsia="en-US"/>
        </w:rPr>
        <w:t xml:space="preserve">In sum, papers should focus on various </w:t>
      </w:r>
      <w:r w:rsidR="00AA6EF2">
        <w:rPr>
          <w:rFonts w:ascii="Calibri" w:hAnsi="Calibri" w:cs="Calibri"/>
          <w:color w:val="1F497D"/>
          <w:sz w:val="22"/>
          <w:szCs w:val="22"/>
          <w:lang w:val="en-US" w:eastAsia="en-US"/>
        </w:rPr>
        <w:t>narratives</w:t>
      </w:r>
      <w:r w:rsidR="00C51A6B">
        <w:rPr>
          <w:rFonts w:ascii="Calibri" w:hAnsi="Calibri" w:cs="Calibri"/>
          <w:color w:val="1F497D"/>
          <w:sz w:val="22"/>
          <w:szCs w:val="22"/>
          <w:lang w:val="en-US" w:eastAsia="en-US"/>
        </w:rPr>
        <w:t xml:space="preserve"> in which</w:t>
      </w:r>
      <w:r w:rsidR="001B03CC">
        <w:rPr>
          <w:rFonts w:ascii="Calibri" w:hAnsi="Calibri" w:cs="Calibri"/>
          <w:color w:val="1F497D"/>
          <w:sz w:val="22"/>
          <w:szCs w:val="22"/>
          <w:lang w:val="en-US" w:eastAsia="en-US"/>
        </w:rPr>
        <w:t xml:space="preserve"> </w:t>
      </w:r>
      <w:r w:rsidR="00AA6EF2">
        <w:rPr>
          <w:rFonts w:ascii="Calibri" w:hAnsi="Calibri" w:cs="Calibri"/>
          <w:color w:val="1F497D"/>
          <w:sz w:val="22"/>
          <w:szCs w:val="22"/>
          <w:lang w:val="en-US" w:eastAsia="en-US"/>
        </w:rPr>
        <w:t xml:space="preserve">the ties between </w:t>
      </w:r>
      <w:r w:rsidR="00C442AA">
        <w:rPr>
          <w:rFonts w:ascii="Calibri" w:hAnsi="Calibri" w:cs="Calibri"/>
          <w:color w:val="1F497D"/>
          <w:sz w:val="22"/>
          <w:szCs w:val="22"/>
          <w:lang w:val="en-US" w:eastAsia="en-US"/>
        </w:rPr>
        <w:t xml:space="preserve">immigrants from </w:t>
      </w:r>
      <w:r w:rsidR="00D44D9B">
        <w:rPr>
          <w:rFonts w:ascii="Calibri" w:hAnsi="Calibri" w:cs="Calibri"/>
          <w:color w:val="1F497D"/>
          <w:sz w:val="22"/>
          <w:szCs w:val="22"/>
          <w:lang w:val="en-US" w:eastAsia="en-US"/>
        </w:rPr>
        <w:t>the Nordic countries</w:t>
      </w:r>
      <w:r w:rsidR="00C442AA">
        <w:rPr>
          <w:rFonts w:ascii="Calibri" w:hAnsi="Calibri" w:cs="Calibri"/>
          <w:color w:val="1F497D"/>
          <w:sz w:val="22"/>
          <w:szCs w:val="22"/>
          <w:lang w:val="en-US" w:eastAsia="en-US"/>
        </w:rPr>
        <w:t xml:space="preserve"> in</w:t>
      </w:r>
      <w:r w:rsidR="00AA6EF2">
        <w:rPr>
          <w:rFonts w:ascii="Calibri" w:hAnsi="Calibri" w:cs="Calibri"/>
          <w:color w:val="1F497D"/>
          <w:sz w:val="22"/>
          <w:szCs w:val="22"/>
          <w:lang w:val="en-US" w:eastAsia="en-US"/>
        </w:rPr>
        <w:t xml:space="preserve"> </w:t>
      </w:r>
      <w:r w:rsidR="001B03CC">
        <w:rPr>
          <w:rFonts w:ascii="Calibri" w:hAnsi="Calibri" w:cs="Calibri"/>
          <w:color w:val="1F497D"/>
          <w:sz w:val="22"/>
          <w:szCs w:val="22"/>
          <w:lang w:val="en-US" w:eastAsia="en-US"/>
        </w:rPr>
        <w:t>America</w:t>
      </w:r>
      <w:r w:rsidR="00A463F1" w:rsidRPr="00EB5F83">
        <w:rPr>
          <w:rFonts w:ascii="Calibri" w:hAnsi="Calibri" w:cs="Calibri"/>
          <w:color w:val="1F497D"/>
          <w:sz w:val="22"/>
          <w:szCs w:val="22"/>
          <w:lang w:val="en-US" w:eastAsia="en-US"/>
        </w:rPr>
        <w:t xml:space="preserve"> </w:t>
      </w:r>
      <w:r w:rsidR="00C51A6B">
        <w:rPr>
          <w:rFonts w:ascii="Calibri" w:hAnsi="Calibri" w:cs="Calibri"/>
          <w:color w:val="1F497D"/>
          <w:sz w:val="22"/>
          <w:szCs w:val="22"/>
          <w:lang w:val="en-US" w:eastAsia="en-US"/>
        </w:rPr>
        <w:t>are taken into account</w:t>
      </w:r>
      <w:r w:rsidR="00A463F1" w:rsidRPr="004E031D">
        <w:rPr>
          <w:rFonts w:ascii="Calibri" w:hAnsi="Calibri" w:cs="Calibri"/>
          <w:color w:val="1F497D"/>
          <w:sz w:val="22"/>
          <w:szCs w:val="22"/>
          <w:lang w:val="en-US" w:eastAsia="en-US"/>
        </w:rPr>
        <w:t>.</w:t>
      </w:r>
    </w:p>
    <w:p w:rsidR="00F8211A" w:rsidRDefault="00F8211A" w:rsidP="00F8211A">
      <w:pPr>
        <w:rPr>
          <w:rFonts w:ascii="Calibri" w:hAnsi="Calibri" w:cs="Calibri"/>
          <w:color w:val="1F497D"/>
          <w:sz w:val="22"/>
          <w:szCs w:val="22"/>
          <w:lang w:val="en-US" w:eastAsia="en-US"/>
        </w:rPr>
      </w:pPr>
    </w:p>
    <w:p w:rsidR="00801D6E" w:rsidRDefault="00801D6E" w:rsidP="0030455A">
      <w:pPr>
        <w:rPr>
          <w:rFonts w:ascii="Trebuchet MS" w:hAnsi="Trebuchet MS"/>
          <w:sz w:val="20"/>
          <w:lang w:val="nn-NO"/>
        </w:rPr>
      </w:pPr>
    </w:p>
    <w:p w:rsidR="00A81556" w:rsidRDefault="00A81556" w:rsidP="00A81556">
      <w:pPr>
        <w:spacing w:before="100" w:beforeAutospacing="1" w:after="100" w:afterAutospacing="1" w:line="360" w:lineRule="auto"/>
        <w:rPr>
          <w:rFonts w:eastAsia="Times New Roman"/>
          <w:lang w:val="en-US"/>
        </w:rPr>
      </w:pPr>
      <w:r w:rsidRPr="00B50586">
        <w:rPr>
          <w:rFonts w:eastAsia="Times New Roman"/>
          <w:lang w:val="en-US"/>
        </w:rPr>
        <w:t xml:space="preserve">NAHA-Norway encourages seminar contributions based on many academic traditions. Topics related to literary, linguistic, and religious studies, to history, social science, fine and folk arts, and cultural studies—as well as multi- and interdisciplinary approaches—are appropriate. NAHA-Norway also emphasizes the need to see Norwegian-American Studies in the context of international migration and ethnic studies in general. Presentations may be </w:t>
      </w:r>
      <w:r w:rsidRPr="00E16D2B">
        <w:rPr>
          <w:rFonts w:eastAsia="Times New Roman"/>
          <w:lang w:val="en-US"/>
        </w:rPr>
        <w:t>delivered in English or Norwegian, and, except for invited lecturers, should not exceed twenty minutes. We require an abstract in English for all presentations, including those held in Norwegian.</w:t>
      </w:r>
    </w:p>
    <w:p w:rsidR="00801D6E" w:rsidRPr="00A81556" w:rsidRDefault="00801D6E" w:rsidP="00A81556">
      <w:pPr>
        <w:spacing w:before="100" w:beforeAutospacing="1" w:after="100" w:afterAutospacing="1" w:line="360" w:lineRule="auto"/>
        <w:rPr>
          <w:lang w:val="en-US"/>
        </w:rPr>
      </w:pPr>
      <w:r w:rsidRPr="004F09D4">
        <w:rPr>
          <w:lang w:val="en-US"/>
        </w:rPr>
        <w:t xml:space="preserve">Prospective speakers are invited to submit a half-page proposal and a one-page CV to NAHA-Norway Chair </w:t>
      </w:r>
      <w:r>
        <w:rPr>
          <w:lang w:val="en-US"/>
        </w:rPr>
        <w:t>Nils Olav Østrem</w:t>
      </w:r>
      <w:r w:rsidRPr="004F09D4">
        <w:rPr>
          <w:lang w:val="en-US"/>
        </w:rPr>
        <w:t xml:space="preserve"> (</w:t>
      </w:r>
      <w:r>
        <w:rPr>
          <w:lang w:val="en-US"/>
        </w:rPr>
        <w:t>nils.o.ostrem</w:t>
      </w:r>
      <w:r w:rsidRPr="004F09D4">
        <w:rPr>
          <w:lang w:val="en-US"/>
        </w:rPr>
        <w:t>@</w:t>
      </w:r>
      <w:r>
        <w:rPr>
          <w:lang w:val="en-US"/>
        </w:rPr>
        <w:t>uis</w:t>
      </w:r>
      <w:r w:rsidRPr="004F09D4">
        <w:rPr>
          <w:lang w:val="en-US"/>
        </w:rPr>
        <w:t xml:space="preserve">.no) or </w:t>
      </w:r>
      <w:r>
        <w:rPr>
          <w:lang w:val="en-US"/>
        </w:rPr>
        <w:t xml:space="preserve">Ole Jone Eide </w:t>
      </w:r>
      <w:r w:rsidRPr="004F09D4">
        <w:rPr>
          <w:lang w:val="en-US"/>
        </w:rPr>
        <w:t>(</w:t>
      </w:r>
      <w:r>
        <w:rPr>
          <w:lang w:val="en-US"/>
        </w:rPr>
        <w:t>ole.j.eide</w:t>
      </w:r>
      <w:r w:rsidRPr="004F09D4">
        <w:rPr>
          <w:lang w:val="en-US"/>
        </w:rPr>
        <w:t>@ui</w:t>
      </w:r>
      <w:r>
        <w:rPr>
          <w:lang w:val="en-US"/>
        </w:rPr>
        <w:t>s</w:t>
      </w:r>
      <w:r w:rsidRPr="004F09D4">
        <w:rPr>
          <w:lang w:val="en-US"/>
        </w:rPr>
        <w:t xml:space="preserve">.no) by </w:t>
      </w:r>
      <w:r>
        <w:rPr>
          <w:rStyle w:val="Sterk"/>
          <w:lang w:val="en-US"/>
        </w:rPr>
        <w:t>January 1, 2020</w:t>
      </w:r>
      <w:r w:rsidRPr="004F09D4">
        <w:rPr>
          <w:lang w:val="en-US"/>
        </w:rPr>
        <w:t xml:space="preserve">. Further information on the conference will be available on the NAHA-Norway website </w:t>
      </w:r>
      <w:hyperlink r:id="rId5" w:history="1">
        <w:r w:rsidR="00A81556" w:rsidRPr="00A81556">
          <w:rPr>
            <w:rStyle w:val="Hyperkobling"/>
            <w:lang w:val="en-GB"/>
          </w:rPr>
          <w:t>https://nahanorge.wordpress.com/</w:t>
        </w:r>
      </w:hyperlink>
    </w:p>
    <w:sectPr w:rsidR="00801D6E" w:rsidRPr="00A815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altName w:val="Titlingmes"/>
    <w:panose1 w:val="02020603050405020304"/>
    <w:charset w:val="00"/>
    <w:family w:val="roman"/>
    <w:pitch w:val="variable"/>
    <w:sig w:usb0="20002A87" w:usb1="80000000" w:usb2="00000008"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
    <w:altName w:val="Times New Roman"/>
    <w:panose1 w:val="020B0604020202020204"/>
    <w:charset w:val="00"/>
    <w:family w:val="auto"/>
    <w:pitch w:val="variable"/>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hideSpellingErrors/>
  <w:hideGrammaticalErrors/>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0EDF"/>
    <w:rsid w:val="0000783B"/>
    <w:rsid w:val="00076EDA"/>
    <w:rsid w:val="000E4CF3"/>
    <w:rsid w:val="000F32D2"/>
    <w:rsid w:val="00193401"/>
    <w:rsid w:val="001B03CC"/>
    <w:rsid w:val="002A5C7C"/>
    <w:rsid w:val="002D723C"/>
    <w:rsid w:val="002E7CF5"/>
    <w:rsid w:val="0030455A"/>
    <w:rsid w:val="00336B8F"/>
    <w:rsid w:val="00365424"/>
    <w:rsid w:val="00376153"/>
    <w:rsid w:val="003B1241"/>
    <w:rsid w:val="003C0EDF"/>
    <w:rsid w:val="003D281E"/>
    <w:rsid w:val="00405120"/>
    <w:rsid w:val="00415CB9"/>
    <w:rsid w:val="00430483"/>
    <w:rsid w:val="00450DA4"/>
    <w:rsid w:val="00470F83"/>
    <w:rsid w:val="00491F30"/>
    <w:rsid w:val="004E031D"/>
    <w:rsid w:val="00537DC6"/>
    <w:rsid w:val="00577F12"/>
    <w:rsid w:val="0061357D"/>
    <w:rsid w:val="006858F3"/>
    <w:rsid w:val="00720568"/>
    <w:rsid w:val="00757195"/>
    <w:rsid w:val="00781478"/>
    <w:rsid w:val="007D417C"/>
    <w:rsid w:val="007E5123"/>
    <w:rsid w:val="00801D6E"/>
    <w:rsid w:val="00804851"/>
    <w:rsid w:val="008249D7"/>
    <w:rsid w:val="008419A5"/>
    <w:rsid w:val="008738E0"/>
    <w:rsid w:val="00883EC6"/>
    <w:rsid w:val="00887A69"/>
    <w:rsid w:val="008C0DC5"/>
    <w:rsid w:val="008F5A5F"/>
    <w:rsid w:val="00A35DB6"/>
    <w:rsid w:val="00A463F1"/>
    <w:rsid w:val="00A744F3"/>
    <w:rsid w:val="00A81556"/>
    <w:rsid w:val="00AA0599"/>
    <w:rsid w:val="00AA2174"/>
    <w:rsid w:val="00AA6EF2"/>
    <w:rsid w:val="00AE7A76"/>
    <w:rsid w:val="00AF1819"/>
    <w:rsid w:val="00B06875"/>
    <w:rsid w:val="00B3315D"/>
    <w:rsid w:val="00B64FCD"/>
    <w:rsid w:val="00BA1F1A"/>
    <w:rsid w:val="00BB1ADB"/>
    <w:rsid w:val="00BE3871"/>
    <w:rsid w:val="00C442AA"/>
    <w:rsid w:val="00C51A6B"/>
    <w:rsid w:val="00C61E14"/>
    <w:rsid w:val="00C8439F"/>
    <w:rsid w:val="00CD572D"/>
    <w:rsid w:val="00D303B0"/>
    <w:rsid w:val="00D44D9B"/>
    <w:rsid w:val="00D745E3"/>
    <w:rsid w:val="00E05D24"/>
    <w:rsid w:val="00E36BEE"/>
    <w:rsid w:val="00EB5F83"/>
    <w:rsid w:val="00ED3AA1"/>
    <w:rsid w:val="00F2575C"/>
    <w:rsid w:val="00F30EA5"/>
    <w:rsid w:val="00F8211A"/>
    <w:rsid w:val="00FA49C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A79FA-2F7C-45A9-9557-E4BBC97C3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0EDF"/>
    <w:rPr>
      <w:rFonts w:ascii="Times New Roman" w:hAnsi="Times New Roman"/>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C8439F"/>
    <w:rPr>
      <w:rFonts w:ascii="Segoe UI" w:hAnsi="Segoe UI" w:cs="Segoe UI"/>
      <w:sz w:val="18"/>
      <w:szCs w:val="18"/>
    </w:rPr>
  </w:style>
  <w:style w:type="character" w:customStyle="1" w:styleId="BobletekstTegn">
    <w:name w:val="Bobletekst Tegn"/>
    <w:basedOn w:val="Standardskriftforavsnitt"/>
    <w:link w:val="Bobletekst"/>
    <w:uiPriority w:val="99"/>
    <w:semiHidden/>
    <w:rsid w:val="00C8439F"/>
    <w:rPr>
      <w:rFonts w:ascii="Segoe UI" w:hAnsi="Segoe UI" w:cs="Segoe UI"/>
      <w:sz w:val="18"/>
      <w:szCs w:val="18"/>
    </w:rPr>
  </w:style>
  <w:style w:type="paragraph" w:customStyle="1" w:styleId="Standard">
    <w:name w:val="Standard"/>
    <w:rsid w:val="00AF1819"/>
    <w:pPr>
      <w:suppressAutoHyphens/>
      <w:autoSpaceDN w:val="0"/>
      <w:spacing w:after="200" w:line="276" w:lineRule="auto"/>
      <w:textAlignment w:val="baseline"/>
    </w:pPr>
    <w:rPr>
      <w:rFonts w:eastAsia="Lucida Sans Unicode" w:cs="F"/>
      <w:kern w:val="3"/>
      <w:sz w:val="22"/>
      <w:szCs w:val="22"/>
      <w:lang w:eastAsia="en-US"/>
    </w:rPr>
  </w:style>
  <w:style w:type="paragraph" w:styleId="Tittel">
    <w:name w:val="Title"/>
    <w:basedOn w:val="Normal"/>
    <w:next w:val="Undertittel"/>
    <w:link w:val="TittelTegn"/>
    <w:qFormat/>
    <w:rsid w:val="00AF1819"/>
    <w:pPr>
      <w:suppressAutoHyphens/>
      <w:jc w:val="center"/>
    </w:pPr>
    <w:rPr>
      <w:rFonts w:eastAsia="Times New Roman"/>
      <w:b/>
      <w:kern w:val="1"/>
      <w:sz w:val="36"/>
      <w:lang w:eastAsia="ar-SA"/>
    </w:rPr>
  </w:style>
  <w:style w:type="character" w:customStyle="1" w:styleId="TittelTegn">
    <w:name w:val="Tittel Tegn"/>
    <w:basedOn w:val="Standardskriftforavsnitt"/>
    <w:link w:val="Tittel"/>
    <w:rsid w:val="00AF1819"/>
    <w:rPr>
      <w:rFonts w:ascii="Times New Roman" w:eastAsia="Times New Roman" w:hAnsi="Times New Roman"/>
      <w:b/>
      <w:kern w:val="1"/>
      <w:sz w:val="36"/>
      <w:szCs w:val="24"/>
      <w:lang w:eastAsia="ar-SA"/>
    </w:rPr>
  </w:style>
  <w:style w:type="paragraph" w:styleId="Undertittel">
    <w:name w:val="Subtitle"/>
    <w:basedOn w:val="Normal"/>
    <w:next w:val="Normal"/>
    <w:link w:val="UndertittelTegn"/>
    <w:uiPriority w:val="11"/>
    <w:qFormat/>
    <w:rsid w:val="00AF1819"/>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dertittelTegn">
    <w:name w:val="Undertittel Tegn"/>
    <w:basedOn w:val="Standardskriftforavsnitt"/>
    <w:link w:val="Undertittel"/>
    <w:uiPriority w:val="11"/>
    <w:rsid w:val="00AF1819"/>
    <w:rPr>
      <w:rFonts w:asciiTheme="minorHAnsi" w:eastAsiaTheme="minorEastAsia" w:hAnsiTheme="minorHAnsi" w:cstheme="minorBidi"/>
      <w:color w:val="5A5A5A" w:themeColor="text1" w:themeTint="A5"/>
      <w:spacing w:val="15"/>
      <w:sz w:val="22"/>
      <w:szCs w:val="22"/>
    </w:rPr>
  </w:style>
  <w:style w:type="character" w:styleId="Sterk">
    <w:name w:val="Strong"/>
    <w:basedOn w:val="Standardskriftforavsnitt"/>
    <w:uiPriority w:val="22"/>
    <w:qFormat/>
    <w:rsid w:val="00801D6E"/>
    <w:rPr>
      <w:b/>
      <w:bCs/>
    </w:rPr>
  </w:style>
  <w:style w:type="character" w:styleId="Hyperkobling">
    <w:name w:val="Hyperlink"/>
    <w:basedOn w:val="Standardskriftforavsnitt"/>
    <w:uiPriority w:val="99"/>
    <w:unhideWhenUsed/>
    <w:rsid w:val="00801D6E"/>
    <w:rPr>
      <w:color w:val="0000FF"/>
      <w:u w:val="single"/>
    </w:rPr>
  </w:style>
  <w:style w:type="character" w:styleId="Fulgthyperkobling">
    <w:name w:val="FollowedHyperlink"/>
    <w:basedOn w:val="Standardskriftforavsnitt"/>
    <w:uiPriority w:val="99"/>
    <w:semiHidden/>
    <w:unhideWhenUsed/>
    <w:rsid w:val="00801D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82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nahanorge.wordpress.com/" TargetMode="External"/><Relationship Id="rId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501</Words>
  <Characters>2482</Characters>
  <Application>Microsoft Office Word</Application>
  <DocSecurity>0</DocSecurity>
  <Lines>40</Lines>
  <Paragraphs>7</Paragraphs>
  <ScaleCrop>false</ScaleCrop>
  <HeadingPairs>
    <vt:vector size="2" baseType="variant">
      <vt:variant>
        <vt:lpstr>Tittel</vt:lpstr>
      </vt:variant>
      <vt:variant>
        <vt:i4>1</vt:i4>
      </vt:variant>
    </vt:vector>
  </HeadingPairs>
  <TitlesOfParts>
    <vt:vector size="1" baseType="lpstr">
      <vt:lpstr/>
    </vt:vector>
  </TitlesOfParts>
  <Company>MuseumsIT AS</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Terje Mikael Hasle Joranger</dc:creator>
  <cp:keywords/>
  <dc:description/>
  <cp:lastModifiedBy>Janne Bondi Johannessen</cp:lastModifiedBy>
  <cp:revision>2</cp:revision>
  <cp:lastPrinted>2019-05-14T06:58:00Z</cp:lastPrinted>
  <dcterms:created xsi:type="dcterms:W3CDTF">2019-06-21T21:47:00Z</dcterms:created>
  <dcterms:modified xsi:type="dcterms:W3CDTF">2019-06-21T21:47:00Z</dcterms:modified>
</cp:coreProperties>
</file>